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body>
    <w:p w14:paraId="01000000">
      <w:r>
        <w:drawing>
          <wp:inline>
            <wp:extent cx="9705974" cy="644842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9705974" cy="64484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40" w:lineRule="auto"/>
        <w:ind/>
        <w:jc w:val="right"/>
      </w:pPr>
    </w:p>
    <w:p w14:paraId="03000000">
      <w:pPr>
        <w:spacing w:after="0" w:line="240" w:lineRule="auto"/>
        <w:ind/>
      </w:pPr>
    </w:p>
    <w:p w14:paraId="04000000">
      <w:pPr>
        <w:spacing w:after="0" w:line="240" w:lineRule="auto"/>
        <w:ind/>
      </w:pPr>
    </w:p>
    <w:tbl>
      <w:tblPr>
        <w:tblInd w:type="dxa" w:w="534"/>
        <w:tblBorders>
          <w:top w:sz="4" w:themeColor="text1" w:val="single"/>
          <w:left w:sz="4" w:themeColor="text1" w:val="single"/>
          <w:bottom w:sz="4" w:themeColor="text1" w:val="single"/>
          <w:right w:sz="4" w:themeColor="text1" w:val="single"/>
          <w:insideH w:sz="4" w:themeColor="text1" w:val="single"/>
          <w:insideV w:sz="4" w:themeColor="text1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128"/>
        <w:gridCol w:w="993"/>
        <w:gridCol w:w="2693"/>
        <w:gridCol w:w="850"/>
        <w:gridCol w:w="993"/>
        <w:gridCol w:w="1417"/>
        <w:gridCol w:w="2026"/>
        <w:gridCol w:w="1700"/>
        <w:gridCol w:w="856"/>
        <w:gridCol w:w="851"/>
        <w:gridCol w:w="851"/>
        <w:gridCol w:w="567"/>
      </w:tblGrid>
      <w:tr>
        <w:tc>
          <w:tcPr>
            <w:tcW w:type="dxa" w:w="1128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00000">
            <w:pPr>
              <w:ind w:hanging="34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/с</w:t>
            </w:r>
          </w:p>
        </w:tc>
        <w:tc>
          <w:tcPr>
            <w:tcW w:type="dxa" w:w="993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2693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мероприятий (работ)</w:t>
            </w:r>
          </w:p>
        </w:tc>
        <w:tc>
          <w:tcPr>
            <w:tcW w:type="dxa" w:w="850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Единица учета</w:t>
            </w:r>
          </w:p>
        </w:tc>
        <w:tc>
          <w:tcPr>
            <w:tcW w:type="dxa" w:w="993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  <w:tc>
          <w:tcPr>
            <w:tcW w:type="dxa" w:w="1417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Стоимость в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руб</w:t>
            </w:r>
          </w:p>
        </w:tc>
        <w:tc>
          <w:tcPr>
            <w:tcW w:type="dxa" w:w="2026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Сроки выполнения</w:t>
            </w:r>
          </w:p>
        </w:tc>
        <w:tc>
          <w:tcPr>
            <w:tcW w:type="dxa" w:w="1700"/>
            <w:vMerge w:val="restart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ответственные</w:t>
            </w:r>
          </w:p>
        </w:tc>
        <w:tc>
          <w:tcPr>
            <w:tcW w:type="dxa" w:w="3125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Ожидаемая социальная эффективность</w:t>
            </w:r>
          </w:p>
        </w:tc>
      </w:tr>
      <w:tr>
        <w:tc>
          <w:tcPr>
            <w:tcW w:type="dxa" w:w="1128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993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693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850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993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417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026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700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707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>, которым улучшаются условия труда</w:t>
            </w:r>
          </w:p>
        </w:tc>
        <w:tc>
          <w:tcPr>
            <w:tcW w:type="dxa" w:w="1418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</w:rPr>
              <w:t>работающих</w:t>
            </w:r>
          </w:p>
          <w:p w14:paraId="1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высвобождаемых от тяжелых физических работ</w:t>
            </w:r>
          </w:p>
        </w:tc>
      </w:tr>
      <w:tr>
        <w:tc>
          <w:tcPr>
            <w:tcW w:type="dxa" w:w="1128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993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693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850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993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417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026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700"/>
            <w:gridSpan w:val="1"/>
            <w:vMerge w:val="continue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 них женщин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 них женщин</w:t>
            </w: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деревян.окон на окна из ПВХ</w:t>
            </w: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450 000</w:t>
            </w:r>
          </w:p>
        </w:tc>
        <w:tc>
          <w:tcPr>
            <w:tcW w:type="dxa" w:w="2026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финансирования</w:t>
            </w:r>
          </w:p>
        </w:tc>
        <w:tc>
          <w:tcPr>
            <w:tcW w:type="dxa" w:w="1700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842"/>
        </w:trP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линолеума в групповых, спальных помещениях</w:t>
            </w: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кв.м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 кв.м</w:t>
            </w:r>
          </w:p>
        </w:tc>
        <w:tc>
          <w:tcPr>
            <w:tcW w:type="dxa" w:w="1417"/>
            <w:tcBorders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по мере финансирования</w:t>
            </w:r>
          </w:p>
        </w:tc>
        <w:tc>
          <w:tcPr>
            <w:tcW w:type="dxa" w:w="170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Borders>
              <w:lef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Ремонт лестничного пролета</w:t>
            </w: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кв.м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 кв.м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июнь-август</w:t>
            </w:r>
          </w:p>
        </w:tc>
        <w:tc>
          <w:tcPr>
            <w:tcW w:type="dxa" w:w="1700"/>
            <w:tcBorders>
              <w:top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  <w:p w14:paraId="35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Приобретение детских шкафчиков для раздевания 4 группа</w:t>
            </w:r>
          </w:p>
          <w:p w14:paraId="3D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  <w:p w14:paraId="43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rPr>
                <w:rFonts w:ascii="Times New Roman" w:hAnsi="Times New Roman"/>
                <w:sz w:val="24"/>
              </w:rPr>
            </w:pPr>
          </w:p>
          <w:p w14:paraId="48000000">
            <w:pPr>
              <w:rPr>
                <w:rFonts w:ascii="Times New Roman" w:hAnsi="Times New Roman"/>
                <w:sz w:val="24"/>
              </w:rPr>
            </w:pPr>
          </w:p>
          <w:p w14:paraId="49000000">
            <w:pPr>
              <w:rPr>
                <w:rFonts w:ascii="Times New Roman" w:hAnsi="Times New Roman"/>
                <w:sz w:val="24"/>
              </w:rPr>
            </w:pPr>
          </w:p>
          <w:p w14:paraId="4A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Замена окон ПФХ </w:t>
            </w: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20 0</w:t>
            </w:r>
            <w:r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Установка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отопительной системы для просушивания уличной одежды и обув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декабрь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Замена оконных блоков</w:t>
            </w:r>
          </w:p>
          <w:p w14:paraId="6600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500 000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Замена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кухонных зон </w:t>
            </w:r>
            <w:r>
              <w:rPr>
                <w:rFonts w:ascii="Times New Roman" w:hAnsi="Times New Roman"/>
                <w:color w:val="000000"/>
                <w:sz w:val="24"/>
              </w:rPr>
              <w:t>в буфетных всех групп</w:t>
            </w:r>
          </w:p>
          <w:p w14:paraId="7300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апитальный ремонт пола в туалете группы № 1(демонтаж старого пола, устройство стяжки, облицовка </w:t>
            </w:r>
            <w:r>
              <w:rPr>
                <w:rFonts w:ascii="Times New Roman" w:hAnsi="Times New Roman"/>
                <w:color w:val="000000"/>
                <w:sz w:val="24"/>
              </w:rPr>
              <w:t>керамогранитом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  <w:p w14:paraId="8000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кв.м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Замена сантехнического оборудования в группе (детские унитазы, раковины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693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Замена неисправных осветительных приборов на кровле здания д/с</w:t>
            </w: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</w:t>
            </w:r>
            <w:r>
              <w:rPr>
                <w:rFonts w:ascii="Times New Roman" w:hAnsi="Times New Roman"/>
                <w:sz w:val="24"/>
              </w:rPr>
              <w:t>раль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</w:rPr>
              <w:t>амена всей посуды для получения пищи с пищеблока</w:t>
            </w:r>
          </w:p>
        </w:tc>
        <w:tc>
          <w:tcPr>
            <w:tcW w:type="dxa" w:w="850"/>
            <w:tcBorders>
              <w:lef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Замена столов </w:t>
            </w:r>
            <w:r>
              <w:rPr>
                <w:rFonts w:ascii="Times New Roman" w:hAnsi="Times New Roman"/>
                <w:color w:val="000000"/>
                <w:sz w:val="24"/>
              </w:rPr>
              <w:t>в группе № 6</w:t>
            </w:r>
          </w:p>
        </w:tc>
        <w:tc>
          <w:tcPr>
            <w:tcW w:type="dxa" w:w="850"/>
            <w:tcBorders>
              <w:lef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Замена </w:t>
            </w:r>
            <w:r>
              <w:rPr>
                <w:rFonts w:ascii="Times New Roman" w:hAnsi="Times New Roman"/>
                <w:color w:val="000000"/>
                <w:sz w:val="24"/>
              </w:rPr>
              <w:t>полотеничниц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группе №1</w:t>
            </w:r>
          </w:p>
        </w:tc>
        <w:tc>
          <w:tcPr>
            <w:tcW w:type="dxa" w:w="850"/>
            <w:tcBorders>
              <w:lef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993"/>
            <w:tcBorders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Замена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шкафа для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уборочного и </w:t>
            </w:r>
            <w:r>
              <w:rPr>
                <w:rFonts w:ascii="Times New Roman" w:hAnsi="Times New Roman"/>
                <w:color w:val="000000"/>
                <w:sz w:val="24"/>
              </w:rPr>
              <w:t>хоз.инвентаря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 туалете группы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№ 6</w:t>
            </w:r>
          </w:p>
        </w:tc>
        <w:tc>
          <w:tcPr>
            <w:tcW w:type="dxa" w:w="850"/>
            <w:tcBorders>
              <w:lef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Установка домофона</w:t>
            </w:r>
          </w:p>
        </w:tc>
        <w:tc>
          <w:tcPr>
            <w:tcW w:type="dxa" w:w="850"/>
            <w:tcBorders>
              <w:lef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</w:rPr>
              <w:t>амена  входных дверей на главном входе и в группе № 5</w:t>
            </w:r>
          </w:p>
        </w:tc>
        <w:tc>
          <w:tcPr>
            <w:tcW w:type="dxa" w:w="850"/>
            <w:tcBorders>
              <w:lef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  <w:r>
              <w:rPr>
                <w:rFonts w:ascii="Times New Roman" w:hAnsi="Times New Roman"/>
                <w:sz w:val="24"/>
              </w:rPr>
              <w:t xml:space="preserve"> 000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693"/>
            <w:tcBorders>
              <w:top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Замена деревянных оконных блоков на оконные блоки из ПВХ профиля</w:t>
            </w:r>
          </w:p>
          <w:p w14:paraId="ED00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line="36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828169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</w:rPr>
              <w:t>о мере финансирования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Ремонт прачечной</w:t>
            </w:r>
          </w:p>
          <w:p w14:paraId="FA00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 м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134983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</w:rPr>
              <w:t>о мере финансирования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завхоз</w:t>
            </w:r>
            <w:r>
              <w:rPr>
                <w:rFonts w:ascii="Times New Roman" w:hAnsi="Times New Roman"/>
                <w:sz w:val="24"/>
              </w:rPr>
              <w:t>,заведующий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2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</w:rPr>
              <w:t>осметический ремонт гладильной</w:t>
            </w:r>
          </w:p>
          <w:p w14:paraId="0701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7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завхоз</w:t>
            </w:r>
          </w:p>
        </w:tc>
        <w:tc>
          <w:tcPr>
            <w:tcW w:type="dxa" w:w="85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2693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</w:rPr>
              <w:t>амена окон группы № 1и № 2</w:t>
            </w:r>
          </w:p>
        </w:tc>
        <w:tc>
          <w:tcPr>
            <w:tcW w:type="dxa" w:w="850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417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100 000</w:t>
            </w:r>
          </w:p>
        </w:tc>
        <w:tc>
          <w:tcPr>
            <w:tcW w:type="dxa" w:w="2026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</w:rPr>
              <w:t>о мере финансирования</w:t>
            </w:r>
          </w:p>
        </w:tc>
        <w:tc>
          <w:tcPr>
            <w:tcW w:type="dxa" w:w="1700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bottom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Замена линолеума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в групповых  помещениях  ( в трёх группах)</w:t>
            </w:r>
          </w:p>
        </w:tc>
        <w:tc>
          <w:tcPr>
            <w:tcW w:type="dxa" w:w="85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кв.</w:t>
            </w: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 м2</w:t>
            </w:r>
          </w:p>
        </w:tc>
        <w:tc>
          <w:tcPr>
            <w:tcW w:type="dxa" w:w="141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 тыс. руб.</w:t>
            </w:r>
          </w:p>
        </w:tc>
        <w:tc>
          <w:tcPr>
            <w:tcW w:type="dxa" w:w="202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вгуст-сентябрь 2020г.</w:t>
            </w:r>
          </w:p>
        </w:tc>
        <w:tc>
          <w:tcPr>
            <w:tcW w:type="dxa" w:w="170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</w:rPr>
              <w:t>аведующий, завхоз</w:t>
            </w:r>
          </w:p>
        </w:tc>
        <w:tc>
          <w:tcPr>
            <w:tcW w:type="dxa" w:w="85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type="dxa" w:w="56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>
        <w:tc>
          <w:tcPr>
            <w:tcW w:type="dxa" w:w="1128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Приобретение халатов</w:t>
            </w:r>
          </w:p>
        </w:tc>
        <w:tc>
          <w:tcPr>
            <w:tcW w:type="dxa" w:w="85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</w:t>
            </w:r>
            <w:r>
              <w:rPr>
                <w:rFonts w:ascii="Times New Roman" w:hAnsi="Times New Roman"/>
                <w:color w:val="000000"/>
                <w:sz w:val="24"/>
              </w:rPr>
              <w:t>т.</w:t>
            </w: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41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4тыс.руб.</w:t>
            </w:r>
          </w:p>
        </w:tc>
        <w:tc>
          <w:tcPr>
            <w:tcW w:type="dxa" w:w="202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вгуст-сентябрь 2020г.</w:t>
            </w:r>
          </w:p>
        </w:tc>
        <w:tc>
          <w:tcPr>
            <w:tcW w:type="dxa" w:w="170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</w:rPr>
              <w:t>аведующий, завхоз</w:t>
            </w:r>
          </w:p>
        </w:tc>
        <w:tc>
          <w:tcPr>
            <w:tcW w:type="dxa" w:w="85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type="dxa" w:w="56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>
        <w:tc>
          <w:tcPr>
            <w:tcW w:type="dxa" w:w="1128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</w:rPr>
              <w:t>амен 2х секционных моек для мытья посуды</w:t>
            </w:r>
          </w:p>
        </w:tc>
        <w:tc>
          <w:tcPr>
            <w:tcW w:type="dxa" w:w="85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шт.</w:t>
            </w: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41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 тыс. руб.</w:t>
            </w:r>
          </w:p>
        </w:tc>
        <w:tc>
          <w:tcPr>
            <w:tcW w:type="dxa" w:w="202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</w:rPr>
              <w:t>ай 2020г.</w:t>
            </w:r>
          </w:p>
        </w:tc>
        <w:tc>
          <w:tcPr>
            <w:tcW w:type="dxa" w:w="170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завхоз</w:t>
            </w:r>
          </w:p>
        </w:tc>
        <w:tc>
          <w:tcPr>
            <w:tcW w:type="dxa" w:w="85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type="dxa" w:w="56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>
        <w:tc>
          <w:tcPr>
            <w:tcW w:type="dxa" w:w="1128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Приобретение комплектов постельного белья</w:t>
            </w:r>
          </w:p>
        </w:tc>
        <w:tc>
          <w:tcPr>
            <w:tcW w:type="dxa" w:w="85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шт</w:t>
            </w: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141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 тыс. руб.</w:t>
            </w:r>
          </w:p>
        </w:tc>
        <w:tc>
          <w:tcPr>
            <w:tcW w:type="dxa" w:w="202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</w:rPr>
              <w:t>оябрь 2020г.</w:t>
            </w:r>
          </w:p>
        </w:tc>
        <w:tc>
          <w:tcPr>
            <w:tcW w:type="dxa" w:w="170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завхоз</w:t>
            </w:r>
          </w:p>
        </w:tc>
        <w:tc>
          <w:tcPr>
            <w:tcW w:type="dxa" w:w="85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type="dxa" w:w="56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>
        <w:tc>
          <w:tcPr>
            <w:tcW w:type="dxa" w:w="1128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Приобретение навесных шкафов в буфетных.</w:t>
            </w:r>
          </w:p>
        </w:tc>
        <w:tc>
          <w:tcPr>
            <w:tcW w:type="dxa" w:w="85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шт.</w:t>
            </w: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41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 тыс. руб.</w:t>
            </w:r>
          </w:p>
        </w:tc>
        <w:tc>
          <w:tcPr>
            <w:tcW w:type="dxa" w:w="202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</w:rPr>
              <w:t>ай 2020г.</w:t>
            </w:r>
          </w:p>
        </w:tc>
        <w:tc>
          <w:tcPr>
            <w:tcW w:type="dxa" w:w="170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завхоз</w:t>
            </w:r>
          </w:p>
        </w:tc>
        <w:tc>
          <w:tcPr>
            <w:tcW w:type="dxa" w:w="85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type="dxa" w:w="56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>
        <w:tc>
          <w:tcPr>
            <w:tcW w:type="dxa" w:w="1128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</w:rPr>
              <w:t>амена детских унитазов</w:t>
            </w:r>
          </w:p>
        </w:tc>
        <w:tc>
          <w:tcPr>
            <w:tcW w:type="dxa" w:w="85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</w:t>
            </w:r>
            <w:r>
              <w:rPr>
                <w:rFonts w:ascii="Times New Roman" w:hAnsi="Times New Roman"/>
                <w:color w:val="000000"/>
                <w:sz w:val="24"/>
              </w:rPr>
              <w:t>т.</w:t>
            </w:r>
          </w:p>
        </w:tc>
        <w:tc>
          <w:tcPr>
            <w:tcW w:type="dxa" w:w="9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41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 тыс.</w:t>
            </w:r>
          </w:p>
        </w:tc>
        <w:tc>
          <w:tcPr>
            <w:tcW w:type="dxa" w:w="202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>юль-август 2020г.</w:t>
            </w:r>
          </w:p>
        </w:tc>
        <w:tc>
          <w:tcPr>
            <w:tcW w:type="dxa" w:w="1700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завхоз</w:t>
            </w:r>
          </w:p>
        </w:tc>
        <w:tc>
          <w:tcPr>
            <w:tcW w:type="dxa" w:w="856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51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type="dxa" w:w="567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канализации в группе № 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завхоз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Установка раковин для педагогов в группах № 3, 4, 5, 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завхоз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Установка смесителей в туалетных комнатах для детей в </w:t>
            </w:r>
            <w:r>
              <w:rPr>
                <w:rFonts w:ascii="Times New Roman" w:hAnsi="Times New Roman"/>
                <w:sz w:val="24"/>
              </w:rPr>
              <w:t>группах № 2, 5, 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завхоз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деревянных оконных блоков на окна  ПВХ в группе № 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оплаты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Ремонтные работы в подвале по замене труб горячего и холодного водоснабжения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завхоз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Монтаж потолка "Армстронг"на лестничной клетке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 м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Косметический ремонт музыкального зала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</w:t>
            </w:r>
            <w:r>
              <w:rPr>
                <w:rFonts w:ascii="Times New Roman" w:hAnsi="Times New Roman"/>
                <w:sz w:val="24"/>
              </w:rPr>
              <w:t>иобретение передвижных рециркуляторов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дверей запасного выхода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</w:t>
            </w:r>
            <w:r>
              <w:rPr>
                <w:rFonts w:ascii="Times New Roman" w:hAnsi="Times New Roman"/>
                <w:sz w:val="24"/>
              </w:rPr>
              <w:t>а оконных блоков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500 </w:t>
            </w: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труб ХВС в подвальном помещение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завхоз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стиральной машины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заведующий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Объеди</w:t>
            </w:r>
            <w:r>
              <w:rPr>
                <w:rFonts w:ascii="Times New Roman" w:hAnsi="Times New Roman"/>
                <w:sz w:val="24"/>
              </w:rPr>
              <w:t>нение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Производственный контроль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250  000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графику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зам.директора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по АХ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моющих и дез.средств, замена хоз.инвентаря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 в авартал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зам.директора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по АХ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</w:t>
            </w:r>
          </w:p>
          <w:p w14:paraId="09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Медицинские осмотры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чел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зам.директора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по АХ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</w:t>
            </w:r>
          </w:p>
          <w:p w14:paraId="16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Очистка кровли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100 000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зам.директора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по АХ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</w:t>
            </w:r>
          </w:p>
          <w:p w14:paraId="23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</w:t>
            </w:r>
            <w:r>
              <w:rPr>
                <w:rFonts w:ascii="Times New Roman" w:hAnsi="Times New Roman"/>
                <w:sz w:val="24"/>
              </w:rPr>
              <w:t>,утверждение положения  о стажировке и о 3-х ступенчатом контроле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чел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квартал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комиссия по ОТ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 и проверка знаний по ОТ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чел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и 3 квартал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комиссия по ОТ</w:t>
            </w:r>
          </w:p>
          <w:p w14:paraId="3C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spacing w:afterAutospacing="on" w:beforeAutospacing="on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 Проведение общего технического осмотра зданий и других сооружений на соответствие безопасной эксплуатации </w:t>
            </w:r>
          </w:p>
          <w:p w14:paraId="44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widowControl w:val="0"/>
              <w:spacing w:after="0" w:before="0" w:line="240" w:lineRule="auto"/>
              <w:ind w:firstLine="1" w:left="77" w:right="333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2 раза в год</w:t>
            </w:r>
          </w:p>
          <w:p w14:paraId="49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комиссия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 ОТ</w:t>
            </w:r>
          </w:p>
          <w:p w14:paraId="4B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</w:p>
          <w:p w14:paraId="4C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spacing w:afterAutospacing="on" w:beforeAutospacing="on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Организация и проведение дней здоровья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widowControl w:val="0"/>
              <w:spacing w:after="0" w:before="0" w:line="240" w:lineRule="auto"/>
              <w:ind w:firstLine="1" w:left="77" w:right="333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ПП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2693"/>
            <w:tcBorders>
              <w:top w:sz="4" w:themeColor="text1" w:val="single"/>
              <w:left w:sz="4" w:themeColor="text1" w:val="single"/>
              <w:bottom w:sz="4" w:themeColor="text1" w:val="single"/>
              <w:right w:sz="4" w:themeColor="text1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Обеспечение работников </w:t>
            </w:r>
            <w:r>
              <w:rPr>
                <w:rFonts w:ascii="Times New Roman" w:hAnsi="Times New Roman"/>
                <w:sz w:val="22"/>
              </w:rPr>
              <w:t>СИЗ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widowControl w:val="0"/>
              <w:spacing w:after="0" w:before="0" w:line="240" w:lineRule="auto"/>
              <w:ind w:firstLine="1" w:left="77" w:right="333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4"/>
              </w:rPr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69020000">
      <w:pPr>
        <w:spacing w:after="0" w:line="240" w:lineRule="auto"/>
        <w:ind/>
      </w:pPr>
    </w:p>
    <w:p w14:paraId="6A020000"/>
    <w:sectPr>
      <w:pgSz w:h="11908" w:w="16848"/>
      <w:pgMar w:bottom="850" w:footer="708" w:header="708" w:left="850" w:right="850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rPr>
      <w:sz w:val="24"/>
    </w:rPr>
  </w:style>
  <w:style w:default="1" w:styleId="Style_1_ch" w:type="character">
    <w:name w:val="Normal"/>
    <w:link w:val="Style_1"/>
    <w:rPr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toc 9"/>
    <w:next w:val="Style_1"/>
    <w:link w:val="Style_15_ch"/>
    <w:uiPriority w:val="39"/>
    <w:pPr>
      <w:ind w:firstLine="0" w:left="1600"/>
    </w:pPr>
  </w:style>
  <w:style w:styleId="Style_15_ch" w:type="character">
    <w:name w:val="toc 9"/>
    <w:link w:val="Style_15"/>
  </w:style>
  <w:style w:styleId="Style_16" w:type="paragraph">
    <w:name w:val="toc 8"/>
    <w:next w:val="Style_1"/>
    <w:link w:val="Style_16_ch"/>
    <w:uiPriority w:val="39"/>
    <w:pPr>
      <w:ind w:firstLine="0" w:left="1400"/>
    </w:pPr>
  </w:style>
  <w:style w:styleId="Style_16_ch" w:type="character">
    <w:name w:val="toc 8"/>
    <w:link w:val="Style_16"/>
  </w:style>
  <w:style w:styleId="Style_17" w:type="paragraph">
    <w:name w:val="toc 5"/>
    <w:next w:val="Style_1"/>
    <w:link w:val="Style_17_ch"/>
    <w:uiPriority w:val="39"/>
    <w:pPr>
      <w:ind w:firstLine="0" w:left="800"/>
    </w:pPr>
  </w:style>
  <w:style w:styleId="Style_17_ch" w:type="character">
    <w:name w:val="toc 5"/>
    <w:link w:val="Style_17"/>
  </w:style>
  <w:style w:styleId="Style_18" w:type="paragraph">
    <w:name w:val="Subtitle"/>
    <w:next w:val="Style_1"/>
    <w:link w:val="Style_18_ch"/>
    <w:uiPriority w:val="11"/>
    <w:qFormat/>
    <w:rPr>
      <w:rFonts w:ascii="XO Thames" w:hAnsi="XO Thames"/>
      <w:i w:val="1"/>
      <w:color w:val="616161"/>
      <w:sz w:val="24"/>
    </w:rPr>
  </w:style>
  <w:style w:styleId="Style_18_ch" w:type="character">
    <w:name w:val="Subtitle"/>
    <w:link w:val="Style_18"/>
    <w:rPr>
      <w:rFonts w:ascii="XO Thames" w:hAnsi="XO Thames"/>
      <w:i w:val="1"/>
      <w:color w:val="616161"/>
      <w:sz w:val="24"/>
    </w:rPr>
  </w:style>
  <w:style w:styleId="Style_19" w:type="paragraph">
    <w:name w:val="toc 10"/>
    <w:next w:val="Style_1"/>
    <w:link w:val="Style_19_ch"/>
    <w:uiPriority w:val="39"/>
    <w:pPr>
      <w:ind w:firstLine="0" w:left="1800"/>
    </w:pPr>
  </w:style>
  <w:style w:styleId="Style_19_ch" w:type="character">
    <w:name w:val="toc 10"/>
    <w:link w:val="Style_19"/>
  </w:style>
  <w:style w:styleId="Style_20" w:type="paragraph">
    <w:name w:val="Title"/>
    <w:next w:val="Style_1"/>
    <w:link w:val="Style_20_ch"/>
    <w:uiPriority w:val="10"/>
    <w:qFormat/>
    <w:rPr>
      <w:rFonts w:ascii="XO Thames" w:hAnsi="XO Thames"/>
      <w:b w:val="1"/>
      <w:sz w:val="52"/>
    </w:rPr>
  </w:style>
  <w:style w:styleId="Style_20_ch" w:type="character">
    <w:name w:val="Title"/>
    <w:link w:val="Style_20"/>
    <w:rPr>
      <w:rFonts w:ascii="XO Thames" w:hAnsi="XO Thames"/>
      <w:b w:val="1"/>
      <w:sz w:val="52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1_ch" w:type="character">
    <w:name w:val="heading 4"/>
    <w:link w:val="Style_21"/>
    <w:rPr>
      <w:rFonts w:ascii="XO Thames" w:hAnsi="XO Thames"/>
      <w:b w:val="1"/>
      <w:color w:val="595959"/>
      <w:sz w:val="26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2_ch" w:type="character">
    <w:name w:val="heading 2"/>
    <w:link w:val="Style_22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MyOffice-CoreFramework-Windows/16.0-640.165.3495.275.1@RELEASE-DESKTOP-OREGANO-ST-2</Application>
</Properties>
</file>